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3.xml" ContentType="application/vnd.openxmlformats-officedocument.wordprocessingml.header+xml"/>
  <Override PartName="/word/charts/chart4.xml" ContentType="application/vnd.openxmlformats-officedocument.drawingml.chart+xml"/>
  <Override PartName="/word/header4.xml" ContentType="application/vnd.openxmlformats-officedocument.wordprocessingml.header+xml"/>
  <Override PartName="/word/charts/chart5.xml" ContentType="application/vnd.openxmlformats-officedocument.drawingml.chart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F00" w:rsidRDefault="007E6F00" w:rsidP="007E6F00">
      <w:bookmarkStart w:id="0" w:name="_GoBack"/>
      <w:bookmarkEnd w:id="0"/>
      <w:r>
        <w:rPr>
          <w:noProof/>
          <w:lang w:eastAsia="lt-LT"/>
        </w:rPr>
        <w:drawing>
          <wp:inline distT="0" distB="0" distL="0" distR="0" wp14:anchorId="75E14929" wp14:editId="5EC09EEE">
            <wp:extent cx="6141085" cy="8696325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085" cy="869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00" w:rsidRDefault="007E6F00" w:rsidP="007E6F00">
      <w:r>
        <w:br w:type="page"/>
      </w:r>
      <w:r>
        <w:rPr>
          <w:noProof/>
          <w:lang w:eastAsia="lt-LT"/>
        </w:rPr>
        <w:lastRenderedPageBreak/>
        <w:drawing>
          <wp:inline distT="0" distB="0" distL="0" distR="0" wp14:anchorId="4ADACF19" wp14:editId="4747CA33">
            <wp:extent cx="5943276" cy="8534400"/>
            <wp:effectExtent l="0" t="0" r="63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204" cy="855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00" w:rsidRDefault="007E6F00" w:rsidP="007E6F00">
      <w:r>
        <w:br w:type="page"/>
      </w:r>
    </w:p>
    <w:p w:rsidR="007E6F00" w:rsidRDefault="007E6F00" w:rsidP="007E6F00">
      <w:pPr>
        <w:rPr>
          <w:rFonts w:ascii="Times New Roman" w:hAnsi="Times New Roman" w:cs="Times New Roman"/>
          <w:sz w:val="24"/>
          <w:szCs w:val="24"/>
        </w:rPr>
        <w:sectPr w:rsidR="007E6F00" w:rsidSect="007E6F00">
          <w:headerReference w:type="default" r:id="rId10"/>
          <w:headerReference w:type="first" r:id="rId11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:rsidR="007E6F00" w:rsidRDefault="007E6F00" w:rsidP="007E6F00">
      <w:r>
        <w:rPr>
          <w:noProof/>
          <w:lang w:eastAsia="lt-LT"/>
        </w:rPr>
        <w:lastRenderedPageBreak/>
        <w:drawing>
          <wp:anchor distT="0" distB="0" distL="114300" distR="114300" simplePos="0" relativeHeight="251660288" behindDoc="0" locked="0" layoutInCell="1" allowOverlap="1" wp14:anchorId="2824D162" wp14:editId="278161B0">
            <wp:simplePos x="0" y="0"/>
            <wp:positionH relativeFrom="column">
              <wp:posOffset>-3810</wp:posOffset>
            </wp:positionH>
            <wp:positionV relativeFrom="paragraph">
              <wp:posOffset>96520</wp:posOffset>
            </wp:positionV>
            <wp:extent cx="6120130" cy="3849370"/>
            <wp:effectExtent l="0" t="0" r="13970" b="17780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F00" w:rsidRDefault="007E6F00" w:rsidP="007E6F00"/>
    <w:p w:rsidR="007E6F00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>
      <w:r>
        <w:rPr>
          <w:noProof/>
          <w:lang w:eastAsia="lt-LT"/>
        </w:rPr>
        <w:drawing>
          <wp:anchor distT="0" distB="0" distL="114300" distR="114300" simplePos="0" relativeHeight="251659264" behindDoc="0" locked="0" layoutInCell="1" allowOverlap="1" wp14:anchorId="298D628C" wp14:editId="300A64E2">
            <wp:simplePos x="0" y="0"/>
            <wp:positionH relativeFrom="column">
              <wp:posOffset>-60960</wp:posOffset>
            </wp:positionH>
            <wp:positionV relativeFrom="paragraph">
              <wp:posOffset>314960</wp:posOffset>
            </wp:positionV>
            <wp:extent cx="6076950" cy="3667125"/>
            <wp:effectExtent l="0" t="0" r="19050" b="9525"/>
            <wp:wrapNone/>
            <wp:docPr id="4" name="Diagrama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Pr="00715079" w:rsidRDefault="007E6F00" w:rsidP="007E6F00"/>
    <w:p w:rsidR="007E6F00" w:rsidRDefault="007E6F00" w:rsidP="007E6F00">
      <w:r>
        <w:br w:type="page"/>
      </w:r>
    </w:p>
    <w:p w:rsidR="007E6F00" w:rsidRPr="00053D8C" w:rsidRDefault="007E6F00" w:rsidP="007E6F0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53D8C">
        <w:rPr>
          <w:rFonts w:ascii="Times New Roman" w:hAnsi="Times New Roman" w:cs="Times New Roman"/>
          <w:b/>
          <w:sz w:val="32"/>
          <w:szCs w:val="32"/>
        </w:rPr>
        <w:lastRenderedPageBreak/>
        <w:t>Mokinių asmeninė pažanga</w:t>
      </w:r>
    </w:p>
    <w:p w:rsidR="007E6F00" w:rsidRDefault="007E6F00" w:rsidP="007E6F00">
      <w:r>
        <w:rPr>
          <w:noProof/>
          <w:lang w:eastAsia="lt-LT"/>
        </w:rPr>
        <w:drawing>
          <wp:anchor distT="0" distB="0" distL="114300" distR="114300" simplePos="0" relativeHeight="251661312" behindDoc="0" locked="0" layoutInCell="1" allowOverlap="1" wp14:anchorId="19CD0BA5" wp14:editId="6A446EBD">
            <wp:simplePos x="0" y="0"/>
            <wp:positionH relativeFrom="column">
              <wp:posOffset>-7620</wp:posOffset>
            </wp:positionH>
            <wp:positionV relativeFrom="paragraph">
              <wp:posOffset>154232</wp:posOffset>
            </wp:positionV>
            <wp:extent cx="6117116" cy="3543300"/>
            <wp:effectExtent l="0" t="0" r="0" b="0"/>
            <wp:wrapNone/>
            <wp:docPr id="6" name="Paveikslėli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16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/>
    <w:p w:rsidR="007E6F00" w:rsidRDefault="007E6F00" w:rsidP="007E6F00">
      <w:r>
        <w:rPr>
          <w:noProof/>
          <w:lang w:eastAsia="lt-LT"/>
        </w:rPr>
        <w:drawing>
          <wp:inline distT="0" distB="0" distL="0" distR="0" wp14:anchorId="5E593288" wp14:editId="1EF47E80">
            <wp:extent cx="6120130" cy="3539389"/>
            <wp:effectExtent l="0" t="0" r="13970" b="23495"/>
            <wp:docPr id="7" name="Diagrama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E6F00" w:rsidRDefault="007E6F00" w:rsidP="007E6F00">
      <w:pPr>
        <w:jc w:val="right"/>
      </w:pPr>
    </w:p>
    <w:p w:rsidR="007E6F00" w:rsidRDefault="007E6F00" w:rsidP="007E6F00">
      <w:r>
        <w:br w:type="page"/>
      </w:r>
    </w:p>
    <w:p w:rsidR="007E6F00" w:rsidRDefault="007E6F00" w:rsidP="007E6F00">
      <w:pPr>
        <w:jc w:val="right"/>
        <w:sectPr w:rsidR="007E6F00" w:rsidSect="009F56E4">
          <w:headerReference w:type="default" r:id="rId16"/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:rsidR="007E6F00" w:rsidRDefault="007E6F00" w:rsidP="007E6F00">
      <w:pPr>
        <w:jc w:val="right"/>
      </w:pPr>
      <w:r>
        <w:rPr>
          <w:noProof/>
          <w:lang w:eastAsia="lt-LT"/>
        </w:rPr>
        <w:lastRenderedPageBreak/>
        <w:drawing>
          <wp:inline distT="0" distB="0" distL="0" distR="0" wp14:anchorId="24A5A7FA" wp14:editId="0229F37F">
            <wp:extent cx="8891905" cy="5573095"/>
            <wp:effectExtent l="0" t="0" r="23495" b="27940"/>
            <wp:docPr id="5" name="Diagrama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E6F00" w:rsidRDefault="007E6F00" w:rsidP="007E6F00">
      <w:r>
        <w:br w:type="page"/>
      </w:r>
    </w:p>
    <w:p w:rsidR="007E6F00" w:rsidRDefault="007E6F00" w:rsidP="007E6F00">
      <w:pPr>
        <w:jc w:val="right"/>
        <w:sectPr w:rsidR="007E6F00" w:rsidSect="009F56E4">
          <w:headerReference w:type="default" r:id="rId18"/>
          <w:pgSz w:w="16838" w:h="11906" w:orient="landscape"/>
          <w:pgMar w:top="1701" w:right="1701" w:bottom="567" w:left="1134" w:header="567" w:footer="567" w:gutter="0"/>
          <w:cols w:space="1296"/>
          <w:docGrid w:linePitch="360"/>
        </w:sectPr>
      </w:pPr>
    </w:p>
    <w:p w:rsidR="007E6F00" w:rsidRDefault="007E6F00" w:rsidP="007E6F00">
      <w:pPr>
        <w:jc w:val="right"/>
      </w:pPr>
      <w:r>
        <w:rPr>
          <w:noProof/>
          <w:lang w:eastAsia="lt-LT"/>
        </w:rPr>
        <w:lastRenderedPageBreak/>
        <w:drawing>
          <wp:inline distT="0" distB="0" distL="0" distR="0" wp14:anchorId="1E6F022A" wp14:editId="23B2D37D">
            <wp:extent cx="8891905" cy="5774204"/>
            <wp:effectExtent l="0" t="0" r="23495" b="17145"/>
            <wp:docPr id="8" name="Diagrama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C2498" w:rsidRDefault="002C2498"/>
    <w:sectPr w:rsidR="002C2498" w:rsidSect="00882991">
      <w:headerReference w:type="default" r:id="rId2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ADA" w:rsidRDefault="008D0ADA" w:rsidP="007E6F00">
      <w:pPr>
        <w:spacing w:after="0" w:line="240" w:lineRule="auto"/>
      </w:pPr>
      <w:r>
        <w:separator/>
      </w:r>
    </w:p>
  </w:endnote>
  <w:endnote w:type="continuationSeparator" w:id="0">
    <w:p w:rsidR="008D0ADA" w:rsidRDefault="008D0ADA" w:rsidP="007E6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ADA" w:rsidRDefault="008D0ADA" w:rsidP="007E6F00">
      <w:pPr>
        <w:spacing w:after="0" w:line="240" w:lineRule="auto"/>
      </w:pPr>
      <w:r>
        <w:separator/>
      </w:r>
    </w:p>
  </w:footnote>
  <w:footnote w:type="continuationSeparator" w:id="0">
    <w:p w:rsidR="008D0ADA" w:rsidRDefault="008D0ADA" w:rsidP="007E6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E4" w:rsidRPr="007E6F00" w:rsidRDefault="008D0ADA" w:rsidP="007E6F00">
    <w:pPr>
      <w:pStyle w:val="Antrats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00" w:rsidRDefault="007E6F00" w:rsidP="007E6F00">
    <w:pPr>
      <w:pStyle w:val="Antrats"/>
      <w:jc w:val="right"/>
    </w:pPr>
    <w:r>
      <w:t>Priedas Nr. 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00" w:rsidRPr="007E6F00" w:rsidRDefault="007E6F00" w:rsidP="007E6F00">
    <w:pPr>
      <w:pStyle w:val="Antrats"/>
      <w:jc w:val="right"/>
    </w:pPr>
    <w:r>
      <w:t>Priedas Nr. 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00" w:rsidRPr="007E6F00" w:rsidRDefault="007E6F00" w:rsidP="007E6F00">
    <w:pPr>
      <w:pStyle w:val="Antrats"/>
      <w:jc w:val="right"/>
    </w:pPr>
    <w:r>
      <w:t>Priedas Nr. 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6E4" w:rsidRDefault="00AF6845" w:rsidP="007213F8">
    <w:pPr>
      <w:pStyle w:val="Antrats"/>
      <w:jc w:val="right"/>
    </w:pPr>
    <w:r>
      <w:t>Priedas Nr.</w:t>
    </w:r>
    <w:r w:rsidR="007E6F00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00"/>
    <w:rsid w:val="000D3ACB"/>
    <w:rsid w:val="002C2498"/>
    <w:rsid w:val="004A298A"/>
    <w:rsid w:val="007E6F00"/>
    <w:rsid w:val="008D0ADA"/>
    <w:rsid w:val="00A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E6F0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E6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F0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E6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E6F00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7E6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E6F0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E6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F00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E6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E6F00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7E6F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openxmlformats.org/officeDocument/2006/relationships/header" Target="header4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sz="1400">
                <a:latin typeface="Times New Roman" panose="02020603050405020304" pitchFamily="18" charset="0"/>
                <a:cs typeface="Times New Roman" panose="02020603050405020304" pitchFamily="18" charset="0"/>
              </a:rPr>
              <a:t>2014-2015</a:t>
            </a:r>
            <a:r>
              <a:rPr lang="lt-LT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m. m. Lietuvių kalbos (gimtosios) metinių ir pagrindinio ugdymo pasiekimų patikrinimo rezultatų analizė</a:t>
            </a:r>
            <a:endParaRPr lang="lt-LT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Lapas1!$B$93</c:f>
              <c:strCache>
                <c:ptCount val="1"/>
                <c:pt idx="0">
                  <c:v>Metinis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Lapas1!$A$94:$A$97</c:f>
              <c:strCache>
                <c:ptCount val="4"/>
                <c:pt idx="0">
                  <c:v>3</c:v>
                </c:pt>
                <c:pt idx="1">
                  <c:v>4-5</c:v>
                </c:pt>
                <c:pt idx="2">
                  <c:v>6-7</c:v>
                </c:pt>
                <c:pt idx="3">
                  <c:v>8-10</c:v>
                </c:pt>
              </c:strCache>
            </c:strRef>
          </c:cat>
          <c:val>
            <c:numRef>
              <c:f>Lapas1!$B$94:$B$97</c:f>
              <c:numCache>
                <c:formatCode>General</c:formatCode>
                <c:ptCount val="4"/>
                <c:pt idx="0">
                  <c:v>0</c:v>
                </c:pt>
                <c:pt idx="1">
                  <c:v>6</c:v>
                </c:pt>
                <c:pt idx="2">
                  <c:v>5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Lapas1!$C$93</c:f>
              <c:strCache>
                <c:ptCount val="1"/>
                <c:pt idx="0">
                  <c:v>PUPP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txPr>
              <a:bodyPr/>
              <a:lstStyle/>
              <a:p>
                <a:pPr>
                  <a:defRPr sz="1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Lapas1!$A$94:$A$97</c:f>
              <c:strCache>
                <c:ptCount val="4"/>
                <c:pt idx="0">
                  <c:v>3</c:v>
                </c:pt>
                <c:pt idx="1">
                  <c:v>4-5</c:v>
                </c:pt>
                <c:pt idx="2">
                  <c:v>6-7</c:v>
                </c:pt>
                <c:pt idx="3">
                  <c:v>8-10</c:v>
                </c:pt>
              </c:strCache>
            </c:strRef>
          </c:cat>
          <c:val>
            <c:numRef>
              <c:f>Lapas1!$C$94:$C$97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7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2171776"/>
        <c:axId val="122173696"/>
        <c:axId val="0"/>
      </c:bar3DChart>
      <c:catAx>
        <c:axId val="1221717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lt-LT" sz="14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Vertinimai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lt-LT"/>
          </a:p>
        </c:txPr>
        <c:crossAx val="122173696"/>
        <c:crosses val="autoZero"/>
        <c:auto val="1"/>
        <c:lblAlgn val="ctr"/>
        <c:lblOffset val="100"/>
        <c:noMultiLvlLbl val="0"/>
      </c:catAx>
      <c:valAx>
        <c:axId val="12217369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en-US" sz="14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</a:t>
                </a:r>
                <a:r>
                  <a:rPr lang="lt-LT" sz="14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okinių skaičius</a:t>
                </a:r>
                <a:endParaRPr lang="en-US" sz="14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lt-LT"/>
          </a:p>
        </c:txPr>
        <c:crossAx val="1221717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lt-L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sz="1400">
                <a:latin typeface="Times New Roman" panose="02020603050405020304" pitchFamily="18" charset="0"/>
                <a:cs typeface="Times New Roman" panose="02020603050405020304" pitchFamily="18" charset="0"/>
              </a:rPr>
              <a:t>2014-2015 m. m. Matematikos</a:t>
            </a:r>
            <a:r>
              <a:rPr lang="lt-LT" sz="14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metinių ir pagrindinio ugdymo pasiekimų patikrinimo rezultatų analizė</a:t>
            </a:r>
            <a:endParaRPr lang="lt-LT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Lapas1!$B$100</c:f>
              <c:strCache>
                <c:ptCount val="1"/>
                <c:pt idx="0">
                  <c:v>Metinis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Lapas1!$A$101:$A$104</c:f>
              <c:strCache>
                <c:ptCount val="4"/>
                <c:pt idx="0">
                  <c:v>3</c:v>
                </c:pt>
                <c:pt idx="1">
                  <c:v>4-5</c:v>
                </c:pt>
                <c:pt idx="2">
                  <c:v>6-7</c:v>
                </c:pt>
                <c:pt idx="3">
                  <c:v>8-10</c:v>
                </c:pt>
              </c:strCache>
            </c:strRef>
          </c:cat>
          <c:val>
            <c:numRef>
              <c:f>Lapas1!$B$101:$B$104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Lapas1!$C$100</c:f>
              <c:strCache>
                <c:ptCount val="1"/>
                <c:pt idx="0">
                  <c:v>PUPP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txPr>
              <a:bodyPr/>
              <a:lstStyle/>
              <a:p>
                <a:pPr>
                  <a:defRPr sz="1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Lapas1!$A$101:$A$104</c:f>
              <c:strCache>
                <c:ptCount val="4"/>
                <c:pt idx="0">
                  <c:v>3</c:v>
                </c:pt>
                <c:pt idx="1">
                  <c:v>4-5</c:v>
                </c:pt>
                <c:pt idx="2">
                  <c:v>6-7</c:v>
                </c:pt>
                <c:pt idx="3">
                  <c:v>8-10</c:v>
                </c:pt>
              </c:strCache>
            </c:strRef>
          </c:cat>
          <c:val>
            <c:numRef>
              <c:f>Lapas1!$C$101:$C$104</c:f>
              <c:numCache>
                <c:formatCode>General</c:formatCode>
                <c:ptCount val="4"/>
                <c:pt idx="0">
                  <c:v>1</c:v>
                </c:pt>
                <c:pt idx="1">
                  <c:v>6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0469888"/>
        <c:axId val="110471808"/>
        <c:axId val="0"/>
      </c:bar3DChart>
      <c:catAx>
        <c:axId val="11046988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lt-LT" sz="14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Vertinimai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lt-LT"/>
          </a:p>
        </c:txPr>
        <c:crossAx val="110471808"/>
        <c:crosses val="autoZero"/>
        <c:auto val="1"/>
        <c:lblAlgn val="ctr"/>
        <c:lblOffset val="100"/>
        <c:noMultiLvlLbl val="0"/>
      </c:catAx>
      <c:valAx>
        <c:axId val="1104718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lt-LT" sz="14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Mokinių</a:t>
                </a:r>
                <a:r>
                  <a:rPr lang="lt-LT" sz="1400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skaičius</a:t>
                </a:r>
                <a:endParaRPr lang="lt-LT" sz="140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lt-LT"/>
          </a:p>
        </c:txPr>
        <c:crossAx val="11046988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lt-L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2015-2016 m.m. I pusmečio</a:t>
            </a:r>
          </a:p>
          <a:p>
            <a:pPr>
              <a:defRPr sz="1400" b="1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sz="1400" b="1">
                <a:latin typeface="Times New Roman" panose="02020603050405020304" pitchFamily="18" charset="0"/>
                <a:cs typeface="Times New Roman" panose="02020603050405020304" pitchFamily="18" charset="0"/>
              </a:rPr>
              <a:t> pažangumo kokybinė</a:t>
            </a:r>
            <a:r>
              <a:rPr lang="lt-LT" sz="14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ataskaita</a:t>
            </a:r>
            <a:endParaRPr lang="lt-LT" sz="14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Lapas1!$A$7</c:f>
              <c:strCache>
                <c:ptCount val="1"/>
                <c:pt idx="0">
                  <c:v>Mokinių skaičius klasėje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8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Lapas1!$B$6:$G$6</c:f>
              <c:strCache>
                <c:ptCount val="6"/>
                <c:pt idx="0">
                  <c:v>5 klasė</c:v>
                </c:pt>
                <c:pt idx="1">
                  <c:v>6 klasė</c:v>
                </c:pt>
                <c:pt idx="2">
                  <c:v>7 klasė</c:v>
                </c:pt>
                <c:pt idx="3">
                  <c:v>8 klasė</c:v>
                </c:pt>
                <c:pt idx="4">
                  <c:v>9 klasė</c:v>
                </c:pt>
                <c:pt idx="5">
                  <c:v>10 klasė</c:v>
                </c:pt>
              </c:strCache>
            </c:strRef>
          </c:cat>
          <c:val>
            <c:numRef>
              <c:f>Lapas1!$B$7:$G$7</c:f>
              <c:numCache>
                <c:formatCode>General</c:formatCode>
                <c:ptCount val="6"/>
                <c:pt idx="0">
                  <c:v>4</c:v>
                </c:pt>
                <c:pt idx="1">
                  <c:v>7</c:v>
                </c:pt>
                <c:pt idx="2">
                  <c:v>3</c:v>
                </c:pt>
                <c:pt idx="3">
                  <c:v>8</c:v>
                </c:pt>
                <c:pt idx="4">
                  <c:v>9</c:v>
                </c:pt>
                <c:pt idx="5">
                  <c:v>7</c:v>
                </c:pt>
              </c:numCache>
            </c:numRef>
          </c:val>
        </c:ser>
        <c:ser>
          <c:idx val="1"/>
          <c:order val="1"/>
          <c:tx>
            <c:strRef>
              <c:f>Lapas1!$A$8</c:f>
              <c:strCache>
                <c:ptCount val="1"/>
                <c:pt idx="0">
                  <c:v>Mokinių skaičius, kurie mokosi gerai ar labai gerai (7-10)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txPr>
              <a:bodyPr/>
              <a:lstStyle/>
              <a:p>
                <a:pPr>
                  <a:defRPr sz="16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Lapas1!$B$6:$G$6</c:f>
              <c:strCache>
                <c:ptCount val="6"/>
                <c:pt idx="0">
                  <c:v>5 klasė</c:v>
                </c:pt>
                <c:pt idx="1">
                  <c:v>6 klasė</c:v>
                </c:pt>
                <c:pt idx="2">
                  <c:v>7 klasė</c:v>
                </c:pt>
                <c:pt idx="3">
                  <c:v>8 klasė</c:v>
                </c:pt>
                <c:pt idx="4">
                  <c:v>9 klasė</c:v>
                </c:pt>
                <c:pt idx="5">
                  <c:v>10 klasė</c:v>
                </c:pt>
              </c:strCache>
            </c:strRef>
          </c:cat>
          <c:val>
            <c:numRef>
              <c:f>Lapas1!$B$8:$G$8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4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2166016"/>
        <c:axId val="112167552"/>
        <c:axId val="0"/>
      </c:bar3DChart>
      <c:catAx>
        <c:axId val="112166016"/>
        <c:scaling>
          <c:orientation val="minMax"/>
        </c:scaling>
        <c:delete val="0"/>
        <c:axPos val="b"/>
        <c:majorTickMark val="out"/>
        <c:minorTickMark val="none"/>
        <c:tickLblPos val="nextTo"/>
        <c:crossAx val="112167552"/>
        <c:crosses val="autoZero"/>
        <c:auto val="1"/>
        <c:lblAlgn val="ctr"/>
        <c:lblOffset val="100"/>
        <c:noMultiLvlLbl val="0"/>
      </c:catAx>
      <c:valAx>
        <c:axId val="11216755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lt-LT" sz="12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Mokinių</a:t>
                </a:r>
                <a:r>
                  <a:rPr lang="lt-LT" sz="1200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skaičius</a:t>
                </a:r>
                <a:endParaRPr lang="lt-LT" sz="1200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216601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6.3830191957712598E-2"/>
          <c:y val="0.84487618395526642"/>
          <c:w val="0.89092247615389542"/>
          <c:h val="0.13338468560995093"/>
        </c:manualLayout>
      </c:layout>
      <c:overlay val="0"/>
      <c:txPr>
        <a:bodyPr/>
        <a:lstStyle/>
        <a:p>
          <a:pPr>
            <a:defRPr sz="1200" b="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lt-L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8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sz="1800">
                <a:latin typeface="Times New Roman" panose="02020603050405020304" pitchFamily="18" charset="0"/>
                <a:cs typeface="Times New Roman" panose="02020603050405020304" pitchFamily="18" charset="0"/>
              </a:rPr>
              <a:t>Mokytojų,</a:t>
            </a:r>
            <a:r>
              <a:rPr lang="lt-LT" sz="18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dirbančių pirmaeilėse pareigose (12 mokytojų), kvalifikacijos kėlimo analizė 2015 m.</a:t>
            </a:r>
            <a:endParaRPr lang="lt-LT" sz="18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2021691053141688"/>
          <c:y val="3.6199095022624438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8280050302610255E-2"/>
          <c:y val="0.24432892720989061"/>
          <c:w val="0.78995436307309974"/>
          <c:h val="0.61585230579209271"/>
        </c:manualLayout>
      </c:layout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2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Lapas1!$A$62:$A$64</c:f>
              <c:strCache>
                <c:ptCount val="3"/>
                <c:pt idx="0">
                  <c:v>Skaitė pranešimą</c:v>
                </c:pt>
                <c:pt idx="1">
                  <c:v>Dalyvavo konferencijose,metodinėse dienose</c:v>
                </c:pt>
                <c:pt idx="2">
                  <c:v>Dalyvavo seminaruose, kursuose</c:v>
                </c:pt>
              </c:strCache>
            </c:strRef>
          </c:cat>
          <c:val>
            <c:numRef>
              <c:f>Lapas1!$B$62:$B$64</c:f>
              <c:numCache>
                <c:formatCode>General</c:formatCode>
                <c:ptCount val="3"/>
                <c:pt idx="0">
                  <c:v>15</c:v>
                </c:pt>
                <c:pt idx="1">
                  <c:v>27</c:v>
                </c:pt>
                <c:pt idx="2">
                  <c:v>61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4.8477924174795461E-2"/>
          <c:y val="0.86621441550575407"/>
          <c:w val="0.89999989213678344"/>
          <c:h val="6.4403985700882418E-2"/>
        </c:manualLayout>
      </c:layout>
      <c:overlay val="0"/>
      <c:txPr>
        <a:bodyPr/>
        <a:lstStyle/>
        <a:p>
          <a:pPr>
            <a:defRPr sz="14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lt-LT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>
                <a:latin typeface="Times New Roman" panose="02020603050405020304" pitchFamily="18" charset="0"/>
                <a:cs typeface="Times New Roman" panose="02020603050405020304" pitchFamily="18" charset="0"/>
              </a:rPr>
              <a:t>Renginiai</a:t>
            </a:r>
            <a:r>
              <a:rPr lang="lt-LT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skirti mokinių gebėjimams ir saviraiškai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lt-LT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2015 m.</a:t>
            </a:r>
            <a:endParaRPr lang="lt-LT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531806449505012"/>
          <c:y val="2.1299254526091587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6149170378092981E-2"/>
          <c:y val="0.10843712359710293"/>
          <c:w val="0.93385086625656888"/>
          <c:h val="0.78852767373843691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2"/>
              </a:solidFill>
            </c:spPr>
          </c:dPt>
          <c:dPt>
            <c:idx val="1"/>
            <c:invertIfNegative val="0"/>
            <c:bubble3D val="0"/>
            <c:spPr>
              <a:solidFill>
                <a:srgbClr val="00FF00"/>
              </a:solidFill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FF00"/>
              </a:solidFill>
            </c:spPr>
          </c:dPt>
          <c:dPt>
            <c:idx val="5"/>
            <c:invertIfNegative val="0"/>
            <c:bubble3D val="0"/>
            <c:spPr>
              <a:solidFill>
                <a:srgbClr val="7030A0"/>
              </a:solidFill>
            </c:spPr>
          </c:dPt>
          <c:dPt>
            <c:idx val="6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7"/>
            <c:invertIfNegative val="0"/>
            <c:bubble3D val="0"/>
            <c:spPr>
              <a:solidFill>
                <a:schemeClr val="bg2">
                  <a:lumMod val="75000"/>
                </a:schemeClr>
              </a:solidFill>
            </c:spPr>
          </c:dPt>
          <c:dLbls>
            <c:txPr>
              <a:bodyPr/>
              <a:lstStyle/>
              <a:p>
                <a:pPr>
                  <a:defRPr sz="14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lt-LT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Lapas1!$A$43:$A$50</c:f>
              <c:strCache>
                <c:ptCount val="8"/>
                <c:pt idx="0">
                  <c:v>Respub. ir raj. konkursai</c:v>
                </c:pt>
                <c:pt idx="1">
                  <c:v>Išvykos</c:v>
                </c:pt>
                <c:pt idx="2">
                  <c:v> Projektai/ festyvaliai</c:v>
                </c:pt>
                <c:pt idx="3">
                  <c:v>Varžybos</c:v>
                </c:pt>
                <c:pt idx="4">
                  <c:v>Žygiai į gamtą</c:v>
                </c:pt>
                <c:pt idx="5">
                  <c:v>Stovyklos</c:v>
                </c:pt>
                <c:pt idx="6">
                  <c:v>Integruotos veiklos</c:v>
                </c:pt>
                <c:pt idx="7">
                  <c:v>Viktorinos</c:v>
                </c:pt>
              </c:strCache>
            </c:strRef>
          </c:cat>
          <c:val>
            <c:numRef>
              <c:f>Lapas1!$B$43:$B$50</c:f>
              <c:numCache>
                <c:formatCode>General</c:formatCode>
                <c:ptCount val="8"/>
                <c:pt idx="0">
                  <c:v>18</c:v>
                </c:pt>
                <c:pt idx="1">
                  <c:v>7</c:v>
                </c:pt>
                <c:pt idx="2">
                  <c:v>9</c:v>
                </c:pt>
                <c:pt idx="3">
                  <c:v>4</c:v>
                </c:pt>
                <c:pt idx="4">
                  <c:v>7</c:v>
                </c:pt>
                <c:pt idx="5">
                  <c:v>5</c:v>
                </c:pt>
                <c:pt idx="6">
                  <c:v>2</c:v>
                </c:pt>
                <c:pt idx="7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2518272"/>
        <c:axId val="112523904"/>
        <c:axId val="0"/>
      </c:bar3DChart>
      <c:catAx>
        <c:axId val="1125182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lt-LT"/>
          </a:p>
        </c:txPr>
        <c:crossAx val="112523904"/>
        <c:crosses val="autoZero"/>
        <c:auto val="1"/>
        <c:lblAlgn val="ctr"/>
        <c:lblOffset val="100"/>
        <c:noMultiLvlLbl val="0"/>
      </c:catAx>
      <c:valAx>
        <c:axId val="11252390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r>
                  <a:rPr lang="lt-LT" sz="120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Skaičius, vnt.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125182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C56DC-0500-4155-8A1A-DB24A0E9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56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GPM3</dc:creator>
  <cp:lastModifiedBy>user</cp:lastModifiedBy>
  <cp:revision>2</cp:revision>
  <dcterms:created xsi:type="dcterms:W3CDTF">2016-02-29T07:53:00Z</dcterms:created>
  <dcterms:modified xsi:type="dcterms:W3CDTF">2016-02-29T07:53:00Z</dcterms:modified>
</cp:coreProperties>
</file>